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sdt>
      <w:sdtPr>
        <w:id w:val="178589626"/>
        <w:placeholder>
          <w:docPart w:val="3C2FA090DFF444CDA54FD040226AB9AE"/>
        </w:placeholder>
      </w:sdtPr>
      <w:sdtEndPr/>
      <w:sdtContent>
        <w:p w:rsidR="00EF46AF" w:rsidRDefault="008937E5" w:rsidP="0092233D">
          <w:pPr>
            <w:jc w:val="center"/>
            <w:outlineLvl w:val="0"/>
          </w:pPr>
          <w:r w:rsidRPr="00061808">
            <w:rPr>
              <w:b/>
            </w:rPr>
            <w:t>FORMAMIDE</w:t>
          </w:r>
          <w:r w:rsidR="00585DD1" w:rsidRPr="00061808">
            <w:rPr>
              <w:b/>
            </w:rPr>
            <w:t xml:space="preserve"> </w:t>
          </w:r>
        </w:p>
      </w:sdtContent>
    </w:sdt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685"/>
        <w:gridCol w:w="6930"/>
      </w:tblGrid>
      <w:tr w:rsidR="009F1332" w:rsidTr="00230F34">
        <w:tc>
          <w:tcPr>
            <w:tcW w:w="368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3242E5" w:rsidRDefault="003242E5" w:rsidP="008937E5">
                <w:proofErr w:type="spellStart"/>
                <w:r>
                  <w:t>Formamide</w:t>
                </w:r>
                <w:proofErr w:type="spellEnd"/>
                <w:r>
                  <w:t>:</w:t>
                </w:r>
              </w:p>
              <w:p w:rsidR="003242E5" w:rsidRDefault="003242E5" w:rsidP="008937E5">
                <w:r w:rsidRPr="003242E5">
                  <w:t>Maximum amount allowed without PI approval:</w:t>
                </w:r>
              </w:p>
              <w:p w:rsidR="009F1332" w:rsidRDefault="009F1332" w:rsidP="008937E5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7E3BC4" w:rsidRDefault="007E3BC4" w:rsidP="007E3BC4">
                <w:r>
                  <w:t>Store container tightly closed in a dry, cool and well ventilated place.</w:t>
                </w:r>
              </w:p>
              <w:p w:rsidR="007E3BC4" w:rsidRDefault="007E3BC4" w:rsidP="00BD49E9">
                <w:r>
                  <w:t>Store away from</w:t>
                </w:r>
                <w:r w:rsidRPr="007E3BC4">
                  <w:t xml:space="preserve"> oxidizing agents, acids, alkalis</w:t>
                </w:r>
                <w:r w:rsidR="00E43C35">
                  <w:t>, iodine, sulfur trioxide, brass, lead</w:t>
                </w:r>
                <w:r w:rsidRPr="007E3BC4">
                  <w:t>.</w:t>
                </w:r>
              </w:p>
              <w:p w:rsidR="007E3BC4" w:rsidRDefault="007E3BC4" w:rsidP="00BD49E9">
                <w:r>
                  <w:t xml:space="preserve">Designated </w:t>
                </w:r>
                <w:r w:rsidR="003242E5">
                  <w:t>S</w:t>
                </w:r>
                <w:r>
                  <w:t>torage</w:t>
                </w:r>
                <w:r w:rsidR="003242E5">
                  <w:t xml:space="preserve"> Area</w:t>
                </w:r>
                <w:r>
                  <w:t xml:space="preserve">: </w:t>
                </w:r>
              </w:p>
              <w:p w:rsidR="00B41090" w:rsidRDefault="00B41090" w:rsidP="00BD49E9"/>
            </w:tc>
          </w:sdtContent>
        </w:sdt>
      </w:tr>
      <w:tr w:rsidR="00847AB2" w:rsidTr="00230F34">
        <w:tc>
          <w:tcPr>
            <w:tcW w:w="3685" w:type="dxa"/>
          </w:tcPr>
          <w:p w:rsidR="00847AB2" w:rsidRDefault="00847AB2" w:rsidP="00BD49E9">
            <w:r>
              <w:t>Experimental Procedure</w:t>
            </w:r>
            <w:r w:rsidR="00BA6667">
              <w:t xml:space="preserve"> and Lab Technique</w:t>
            </w:r>
            <w:r w:rsidR="008937E5">
              <w:t>s to be Used:</w:t>
            </w:r>
          </w:p>
        </w:tc>
        <w:sdt>
          <w:sdtPr>
            <w:id w:val="17858963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6930" w:type="dxa"/>
              </w:tcPr>
              <w:p w:rsidR="00847AB2" w:rsidRDefault="008937E5" w:rsidP="0075345E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hazards</w:t>
            </w:r>
            <w:r w:rsidR="006B4491">
              <w:t>)</w:t>
            </w:r>
          </w:p>
        </w:tc>
        <w:tc>
          <w:tcPr>
            <w:tcW w:w="693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940829" w:rsidRDefault="0075345E" w:rsidP="00585DD1">
                <w:pPr>
                  <w:rPr>
                    <w:b/>
                  </w:rPr>
                </w:pPr>
                <w:r w:rsidRPr="00940829">
                  <w:rPr>
                    <w:b/>
                  </w:rPr>
                  <w:t>CAS #</w:t>
                </w:r>
                <w:r w:rsidR="00585DD1" w:rsidRPr="00940829">
                  <w:rPr>
                    <w:b/>
                  </w:rPr>
                  <w:t xml:space="preserve"> </w:t>
                </w:r>
                <w:r w:rsidR="008937E5">
                  <w:rPr>
                    <w:b/>
                  </w:rPr>
                  <w:t>75-12-7</w:t>
                </w:r>
              </w:p>
              <w:p w:rsidR="00940829" w:rsidRPr="00940829" w:rsidRDefault="0075345E" w:rsidP="0075345E">
                <w:r w:rsidRPr="00940829">
                  <w:rPr>
                    <w:b/>
                  </w:rPr>
                  <w:t xml:space="preserve">GHS Classification: </w:t>
                </w:r>
                <w:r w:rsidR="008937E5">
                  <w:rPr>
                    <w:b/>
                  </w:rPr>
                  <w:t>Carcinogen. Reproductive Toxin.</w:t>
                </w:r>
              </w:p>
              <w:p w:rsidR="00FC6CF9" w:rsidRDefault="00D0498B" w:rsidP="00FC6CF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Poison by skin contact or injection. </w:t>
                </w:r>
              </w:p>
              <w:p w:rsidR="00FC6CF9" w:rsidRDefault="00D0498B" w:rsidP="00FC6CF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Moderately toxic by ingestion. </w:t>
                </w:r>
              </w:p>
              <w:p w:rsidR="00FC6CF9" w:rsidRDefault="00D0498B" w:rsidP="00FC6CF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>An irritant to skin, eyes and mucous membranes. An eye irritant. Mutation data reported.</w:t>
                </w:r>
                <w:r w:rsidR="0061301B">
                  <w:t xml:space="preserve"> </w:t>
                </w:r>
                <w:r w:rsidR="0061301B" w:rsidRPr="0061301B">
                  <w:t>May damage fertility or the unborn child</w:t>
                </w:r>
                <w:r w:rsidR="0061301B">
                  <w:t>.</w:t>
                </w:r>
                <w:r>
                  <w:t xml:space="preserve"> </w:t>
                </w:r>
              </w:p>
              <w:p w:rsidR="00FC6CF9" w:rsidRDefault="00D0498B" w:rsidP="00FC6CF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Combustible when exposed to heat or flame. </w:t>
                </w:r>
              </w:p>
              <w:p w:rsidR="00FC6CF9" w:rsidRDefault="00D0498B" w:rsidP="00FC6CF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Can react vigorously with oxidizing materials. </w:t>
                </w:r>
              </w:p>
              <w:p w:rsidR="00FC6CF9" w:rsidRDefault="00D0498B" w:rsidP="00FC6CF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Incompatible with iodine, pyridine, sulfur trioxide. </w:t>
                </w:r>
              </w:p>
              <w:p w:rsidR="00E43C35" w:rsidRDefault="00D0498B" w:rsidP="00FC6CF9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When heated to decomposition it emits toxic fumes of nitrogen oxides. </w:t>
                </w:r>
                <w:r w:rsidR="00E43C35">
                  <w:t xml:space="preserve">Hygroscopic. </w:t>
                </w:r>
                <w:r>
                  <w:t xml:space="preserve">May explode if stored for a long time.  </w:t>
                </w:r>
              </w:p>
              <w:p w:rsidR="00E43C35" w:rsidRDefault="00E43C35" w:rsidP="0075345E">
                <w:r>
                  <w:t>OSHA PEL: TWA 20ppm, STEL 30ppm</w:t>
                </w:r>
              </w:p>
              <w:p w:rsidR="00E43C35" w:rsidRDefault="00E43C35" w:rsidP="0075345E">
                <w:r>
                  <w:lastRenderedPageBreak/>
                  <w:t>ACGIH TLV: TWA 10ppm, skin</w:t>
                </w:r>
              </w:p>
              <w:p w:rsidR="0075345E" w:rsidRDefault="00E43C35" w:rsidP="0075345E">
                <w:r>
                  <w:t>NIOSH REL: TWA 10ppm, skin</w:t>
                </w:r>
              </w:p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D0498B" w:rsidRDefault="00D0498B" w:rsidP="0075345E"/>
        </w:tc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22365B" w:rsidRPr="0022365B" w:rsidRDefault="0022365B" w:rsidP="0022365B">
                <w:r w:rsidRPr="0022365B">
                  <w:t xml:space="preserve">Work only in a chemical fume hood with adequate exhaust ventilation or ducted Biosafety cabinet. </w:t>
                </w:r>
                <w:r w:rsidR="007E3BC4" w:rsidRPr="007E3BC4">
                  <w:t>Ground all equipment containing materia</w:t>
                </w:r>
                <w:r w:rsidR="007E3BC4">
                  <w:t xml:space="preserve">l. </w:t>
                </w:r>
                <w:r w:rsidR="00C37D82">
                  <w:t>Eyewash and safety shower must</w:t>
                </w:r>
                <w:r w:rsidRPr="0022365B">
                  <w:t xml:space="preserve"> be readily available. </w:t>
                </w:r>
              </w:p>
              <w:p w:rsidR="00B41090" w:rsidRDefault="00B41090" w:rsidP="00BD49E9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6828F1" w:rsidRDefault="00EE1C71" w:rsidP="006828F1">
                <w:r>
                  <w:t>Always handle with</w:t>
                </w:r>
                <w:r w:rsidR="006828F1">
                  <w:t xml:space="preserve"> gloves</w:t>
                </w:r>
                <w:r>
                  <w:t>, nitrile rubber gloves are sufficient.</w:t>
                </w:r>
              </w:p>
              <w:p w:rsidR="006828F1" w:rsidRDefault="006828F1" w:rsidP="006828F1">
                <w:r>
                  <w:t xml:space="preserve">Wear tightly fitting safety goggles. </w:t>
                </w:r>
                <w:proofErr w:type="spellStart"/>
                <w:r>
                  <w:t>Faceshield</w:t>
                </w:r>
                <w:proofErr w:type="spellEnd"/>
                <w:r>
                  <w:t xml:space="preserve"> may be required.</w:t>
                </w:r>
              </w:p>
              <w:p w:rsidR="00C45589" w:rsidRDefault="00EE1C71" w:rsidP="006828F1">
                <w:r>
                  <w:t>Wear</w:t>
                </w:r>
                <w:r w:rsidR="006828F1">
                  <w:t xml:space="preserve"> lab coat, long pants and closed -toe shoes</w:t>
                </w:r>
              </w:p>
              <w:p w:rsidR="00EE1C71" w:rsidRDefault="00C45589" w:rsidP="00C45589">
                <w:r w:rsidRPr="00C45589">
                  <w:t>Check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230F34">
        <w:tc>
          <w:tcPr>
            <w:tcW w:w="368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tc>
          <w:tcPr>
            <w:tcW w:w="6930" w:type="dxa"/>
          </w:tcPr>
          <w:sdt>
            <w:sdtPr>
              <w:id w:val="178589634"/>
              <w:placeholder>
                <w:docPart w:val="3C2FA090DFF444CDA54FD040226AB9AE"/>
              </w:placeholder>
            </w:sdtPr>
            <w:sdtEndPr/>
            <w:sdtContent>
              <w:p w:rsidR="00C37D82" w:rsidRDefault="00EE1C71" w:rsidP="00C37D82">
                <w:r w:rsidRPr="00EE1C71">
                  <w:t xml:space="preserve">Waste should be collected in tightly closed one-quart container, in secondary containment and in a designated location inside a fume hood. </w:t>
                </w:r>
                <w:r w:rsidR="003961FB">
                  <w:t xml:space="preserve">Empty containers pose a fire risk, evaporate the residue under a fume hood. </w:t>
                </w:r>
                <w:r w:rsidRPr="00EE1C71">
                  <w:t>Affix and complete hazardous waste label. Contact REHS for waste pick up.</w:t>
                </w:r>
              </w:p>
            </w:sdtContent>
          </w:sdt>
          <w:p w:rsidR="00C37D82" w:rsidRPr="00C37D82" w:rsidRDefault="00271D2A" w:rsidP="00C37D82">
            <w:hyperlink r:id="rId9" w:history="1">
              <w:r w:rsidR="00C37D82" w:rsidRPr="00C37D82">
                <w:rPr>
                  <w:rStyle w:val="Hyperlink"/>
                </w:rPr>
                <w:t>https://halflife.rutgers.edu/forms/hazwaste.php</w:t>
              </w:r>
            </w:hyperlink>
          </w:p>
          <w:p w:rsidR="00B41090" w:rsidRDefault="00B41090" w:rsidP="00BD49E9"/>
        </w:tc>
      </w:tr>
      <w:tr w:rsidR="0054479E" w:rsidTr="00230F34">
        <w:tc>
          <w:tcPr>
            <w:tcW w:w="368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EE1C71" w:rsidRDefault="00EE1C71" w:rsidP="007E3BC4">
                <w:r>
                  <w:t xml:space="preserve">Wear respiratory protection. Avoid breathing vapors, mist or gas. Ensure adequate ventilation. </w:t>
                </w:r>
                <w:r w:rsidR="007E3BC4">
                  <w:t>Remove all sources of ignition.</w:t>
                </w:r>
                <w:r w:rsidR="007E3BC4" w:rsidRPr="007E3BC4">
                  <w:t xml:space="preserve"> </w:t>
                </w:r>
                <w:r>
                  <w:t>Evacuate person</w:t>
                </w:r>
                <w:r w:rsidR="007E3BC4">
                  <w:t xml:space="preserve">nel to safe areas. </w:t>
                </w:r>
                <w:r>
                  <w:t>Absorb the spill with inert material</w:t>
                </w:r>
                <w:r w:rsidR="007E3BC4">
                  <w:t xml:space="preserve"> and finish cleaning by wiping </w:t>
                </w:r>
                <w:r w:rsidR="002D0CE6">
                  <w:t xml:space="preserve">contaminated </w:t>
                </w:r>
                <w:r w:rsidR="007E3BC4">
                  <w:t>surface with plenty of water.</w:t>
                </w:r>
                <w:r w:rsidR="002D0CE6">
                  <w:t xml:space="preserve"> </w:t>
                </w:r>
                <w:r w:rsidR="00C45589"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230F34">
        <w:tc>
          <w:tcPr>
            <w:tcW w:w="368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930" w:type="dxa"/>
              </w:tcPr>
              <w:p w:rsidR="00EE1C71" w:rsidRDefault="00EE1C71" w:rsidP="00EE1C71">
                <w:r>
                  <w:t>Eyes: Flush eyes with warm water</w:t>
                </w:r>
                <w:r w:rsidR="002D0CE6">
                  <w:t xml:space="preserve"> for 15 min. Seek medical attention</w:t>
                </w:r>
                <w:r>
                  <w:t>.</w:t>
                </w:r>
              </w:p>
              <w:p w:rsidR="00EE1C71" w:rsidRDefault="00EE1C71" w:rsidP="00EE1C71">
                <w:r>
                  <w:t>Skin: Flush affected skin with plenty of water and mild soap. Cover the contaminated skin with an antibacterial cream</w:t>
                </w:r>
                <w:r w:rsidR="002D0CE6">
                  <w:t xml:space="preserve"> or emollient. Seek medical attention</w:t>
                </w:r>
                <w:r>
                  <w:t>.</w:t>
                </w:r>
              </w:p>
              <w:p w:rsidR="00EE1C71" w:rsidRDefault="00EE1C71" w:rsidP="00EE1C71">
                <w:r>
                  <w:t xml:space="preserve">Inhalation: Remove to fresh air. If breathing is difficult </w:t>
                </w:r>
                <w:r w:rsidR="002D0CE6">
                  <w:t>give oxygen. Seek medical attention</w:t>
                </w:r>
                <w:r>
                  <w:t>.</w:t>
                </w:r>
              </w:p>
              <w:p w:rsidR="00EE1C71" w:rsidRDefault="00EE1C71" w:rsidP="00EE1C71">
                <w:r>
                  <w:t>Ingestion: Rinse mouth with water. Consult a physician.</w:t>
                </w:r>
              </w:p>
              <w:p w:rsidR="0054479E" w:rsidRDefault="0054479E" w:rsidP="00BD49E9"/>
            </w:tc>
          </w:sdtContent>
        </w:sdt>
      </w:tr>
    </w:tbl>
    <w:p w:rsidR="00181BE1" w:rsidRDefault="00181BE1" w:rsidP="00BD49E9"/>
    <w:p w:rsidR="007E3BC4" w:rsidRDefault="007E3BC4" w:rsidP="00BD49E9"/>
    <w:p w:rsidR="007E3BC4" w:rsidRDefault="007E3BC4" w:rsidP="00BD49E9"/>
    <w:p w:rsidR="007E3BC4" w:rsidRDefault="007E3BC4" w:rsidP="00BD49E9"/>
    <w:p w:rsidR="007E3BC4" w:rsidRDefault="007E3BC4" w:rsidP="00BD49E9"/>
    <w:p w:rsidR="007E3BC4" w:rsidRDefault="007E3BC4" w:rsidP="00BD49E9"/>
    <w:p w:rsidR="007E3BC4" w:rsidRDefault="007E3BC4" w:rsidP="00BD49E9"/>
    <w:p w:rsidR="007E3BC4" w:rsidRDefault="007E3BC4" w:rsidP="00BD49E9"/>
    <w:p w:rsidR="007E3BC4" w:rsidRDefault="007E3BC4" w:rsidP="00BD49E9"/>
    <w:p w:rsidR="007E3BC4" w:rsidRDefault="007E3BC4" w:rsidP="00BD49E9"/>
    <w:p w:rsidR="00E43C35" w:rsidRDefault="00E43C35" w:rsidP="00BD49E9">
      <w:bookmarkStart w:id="0" w:name="_GoBack"/>
      <w:bookmarkEnd w:id="0"/>
    </w:p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lastRenderedPageBreak/>
        <w:t>Training</w:t>
      </w:r>
    </w:p>
    <w:p w:rsidR="00351F7C" w:rsidRDefault="00351F7C" w:rsidP="00BD49E9"/>
    <w:p w:rsidR="00BA6667" w:rsidRDefault="00E43C35" w:rsidP="00BA6667">
      <w:pPr>
        <w:pStyle w:val="ListParagraph"/>
        <w:numPr>
          <w:ilvl w:val="0"/>
          <w:numId w:val="2"/>
        </w:numPr>
      </w:pPr>
      <w:r>
        <w:t xml:space="preserve">Prior to conducting any work with </w:t>
      </w:r>
      <w:proofErr w:type="spellStart"/>
      <w:r>
        <w:t>formamide</w:t>
      </w:r>
      <w:proofErr w:type="spellEnd"/>
      <w:r w:rsidR="00BA6667">
        <w:t>, designated personnel must be provided training specific to the hazard involved in working with the substance.</w:t>
      </w:r>
    </w:p>
    <w:p w:rsidR="00BA6667" w:rsidRDefault="00BA6667" w:rsidP="00BA6667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BA6667" w:rsidRDefault="00BA6667" w:rsidP="00BA6667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BA6667" w:rsidRDefault="00BA6667" w:rsidP="00BA6667"/>
    <w:p w:rsidR="00BA6667" w:rsidRDefault="00BA6667" w:rsidP="00BA6667">
      <w:r>
        <w:t>I have read and understood the content of this SOP and the SDS:</w:t>
      </w:r>
    </w:p>
    <w:p w:rsidR="00BA6667" w:rsidRDefault="00BA6667" w:rsidP="00BA66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BD49E9"/>
    <w:p w:rsid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2D0CE6">
        <w:rPr>
          <w:b/>
          <w:sz w:val="32"/>
          <w:szCs w:val="32"/>
        </w:rPr>
        <w:lastRenderedPageBreak/>
        <w:t>FORMAMIDE</w:t>
      </w:r>
    </w:p>
    <w:p w:rsid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2D0CE6">
        <w:rPr>
          <w:b/>
          <w:sz w:val="28"/>
          <w:szCs w:val="28"/>
        </w:rPr>
        <w:t>Carcinogen. Reproductive Toxin.</w:t>
      </w:r>
    </w:p>
    <w:p w:rsidR="002D0CE6" w:rsidRP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</w:p>
    <w:p w:rsid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68045E9">
            <wp:extent cx="1207135" cy="12680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FIRST AID</w:t>
      </w:r>
    </w:p>
    <w:p w:rsidR="002D0CE6" w:rsidRP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2D0CE6">
        <w:rPr>
          <w:b/>
          <w:sz w:val="28"/>
          <w:szCs w:val="28"/>
        </w:rPr>
        <w:t>Eyes</w:t>
      </w:r>
      <w:r w:rsidRPr="002D0CE6">
        <w:rPr>
          <w:sz w:val="28"/>
          <w:szCs w:val="28"/>
        </w:rPr>
        <w:t>: Flush eyes with warm water for 15 min. Seek medical attention.</w:t>
      </w:r>
    </w:p>
    <w:p w:rsidR="002D0CE6" w:rsidRP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2D0CE6">
        <w:rPr>
          <w:b/>
          <w:sz w:val="28"/>
          <w:szCs w:val="28"/>
        </w:rPr>
        <w:t>Skin</w:t>
      </w:r>
      <w:r w:rsidRPr="002D0CE6">
        <w:rPr>
          <w:sz w:val="28"/>
          <w:szCs w:val="28"/>
        </w:rPr>
        <w:t>: Flush affected skin with plenty of water and mild soap. Cover the contaminated skin with an antibacterial cream or emollient. Seek medical attention.</w:t>
      </w:r>
    </w:p>
    <w:p w:rsidR="002D0CE6" w:rsidRP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2D0CE6">
        <w:rPr>
          <w:b/>
          <w:sz w:val="28"/>
          <w:szCs w:val="28"/>
        </w:rPr>
        <w:t>Inhalation</w:t>
      </w:r>
      <w:r w:rsidRPr="002D0CE6">
        <w:rPr>
          <w:sz w:val="28"/>
          <w:szCs w:val="28"/>
        </w:rPr>
        <w:t>: Remove to fresh air. If breathing is difficult give oxygen. Seek medical attention.</w:t>
      </w:r>
    </w:p>
    <w:p w:rsidR="002D0CE6" w:rsidRP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28"/>
          <w:szCs w:val="28"/>
        </w:rPr>
      </w:pPr>
      <w:r w:rsidRPr="002D0CE6">
        <w:rPr>
          <w:b/>
          <w:sz w:val="28"/>
          <w:szCs w:val="28"/>
        </w:rPr>
        <w:t>Ingestion</w:t>
      </w:r>
      <w:r w:rsidRPr="002D0CE6">
        <w:rPr>
          <w:sz w:val="28"/>
          <w:szCs w:val="28"/>
        </w:rPr>
        <w:t>: Rinse mouth with water. Consult a physician.</w:t>
      </w:r>
    </w:p>
    <w:p w:rsid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 w:val="28"/>
          <w:szCs w:val="28"/>
        </w:rPr>
      </w:pPr>
    </w:p>
    <w:p w:rsid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2D0CE6">
        <w:rPr>
          <w:b/>
          <w:sz w:val="28"/>
          <w:szCs w:val="28"/>
        </w:rPr>
        <w:t xml:space="preserve">DIAL 911     </w:t>
      </w:r>
      <w:r>
        <w:rPr>
          <w:b/>
          <w:sz w:val="28"/>
          <w:szCs w:val="28"/>
        </w:rPr>
        <w:t xml:space="preserve">                                       </w:t>
      </w:r>
      <w:r w:rsidRPr="002D0CE6">
        <w:rPr>
          <w:b/>
          <w:sz w:val="28"/>
          <w:szCs w:val="28"/>
        </w:rPr>
        <w:t>Call REHS for more information 848-445-2550</w:t>
      </w:r>
    </w:p>
    <w:p w:rsidR="002D0CE6" w:rsidRPr="002D0CE6" w:rsidRDefault="002D0CE6" w:rsidP="002D0CE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</w:p>
    <w:sectPr w:rsidR="002D0CE6" w:rsidRPr="002D0CE6" w:rsidSect="00B84990">
      <w:headerReference w:type="default" r:id="rId11"/>
      <w:headerReference w:type="first" r:id="rId12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2A" w:rsidRDefault="00271D2A">
      <w:r>
        <w:separator/>
      </w:r>
    </w:p>
  </w:endnote>
  <w:endnote w:type="continuationSeparator" w:id="0">
    <w:p w:rsidR="00271D2A" w:rsidRDefault="0027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2A" w:rsidRDefault="00271D2A">
      <w:r>
        <w:separator/>
      </w:r>
    </w:p>
  </w:footnote>
  <w:footnote w:type="continuationSeparator" w:id="0">
    <w:p w:rsidR="00271D2A" w:rsidRDefault="0027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34552"/>
    <w:multiLevelType w:val="hybridMultilevel"/>
    <w:tmpl w:val="58A2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D191D"/>
    <w:multiLevelType w:val="hybridMultilevel"/>
    <w:tmpl w:val="F38AB2F4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73A6A"/>
    <w:multiLevelType w:val="hybridMultilevel"/>
    <w:tmpl w:val="85E0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609DC"/>
    <w:rsid w:val="00061808"/>
    <w:rsid w:val="000F4FF3"/>
    <w:rsid w:val="001630DB"/>
    <w:rsid w:val="00181BE1"/>
    <w:rsid w:val="00193881"/>
    <w:rsid w:val="001E55B4"/>
    <w:rsid w:val="001F11BB"/>
    <w:rsid w:val="0020568E"/>
    <w:rsid w:val="0022365B"/>
    <w:rsid w:val="00230F34"/>
    <w:rsid w:val="00234AE1"/>
    <w:rsid w:val="00271D2A"/>
    <w:rsid w:val="002D0CE6"/>
    <w:rsid w:val="00323D4D"/>
    <w:rsid w:val="003242E5"/>
    <w:rsid w:val="00351F7C"/>
    <w:rsid w:val="003961FB"/>
    <w:rsid w:val="003B2E4A"/>
    <w:rsid w:val="003F576E"/>
    <w:rsid w:val="00457155"/>
    <w:rsid w:val="00472121"/>
    <w:rsid w:val="004B2067"/>
    <w:rsid w:val="004C0151"/>
    <w:rsid w:val="004D56AC"/>
    <w:rsid w:val="004E6624"/>
    <w:rsid w:val="0054479E"/>
    <w:rsid w:val="00585DD1"/>
    <w:rsid w:val="005A44DD"/>
    <w:rsid w:val="00601677"/>
    <w:rsid w:val="0061301B"/>
    <w:rsid w:val="006828F1"/>
    <w:rsid w:val="006831EB"/>
    <w:rsid w:val="006B4491"/>
    <w:rsid w:val="006C7C1E"/>
    <w:rsid w:val="006E09E7"/>
    <w:rsid w:val="0075345E"/>
    <w:rsid w:val="00753F91"/>
    <w:rsid w:val="00773928"/>
    <w:rsid w:val="007E3BC4"/>
    <w:rsid w:val="00806AAF"/>
    <w:rsid w:val="0083441A"/>
    <w:rsid w:val="00847AB2"/>
    <w:rsid w:val="008937E5"/>
    <w:rsid w:val="008D71BD"/>
    <w:rsid w:val="008F315B"/>
    <w:rsid w:val="008F53F3"/>
    <w:rsid w:val="0092233D"/>
    <w:rsid w:val="00940829"/>
    <w:rsid w:val="009538A1"/>
    <w:rsid w:val="009E0D84"/>
    <w:rsid w:val="009F1332"/>
    <w:rsid w:val="00A03DDF"/>
    <w:rsid w:val="00B07DDF"/>
    <w:rsid w:val="00B10107"/>
    <w:rsid w:val="00B26B2E"/>
    <w:rsid w:val="00B41090"/>
    <w:rsid w:val="00B44614"/>
    <w:rsid w:val="00B84990"/>
    <w:rsid w:val="00BA5A5A"/>
    <w:rsid w:val="00BA6667"/>
    <w:rsid w:val="00BD49E9"/>
    <w:rsid w:val="00BF04B2"/>
    <w:rsid w:val="00C37D82"/>
    <w:rsid w:val="00C45589"/>
    <w:rsid w:val="00C50B89"/>
    <w:rsid w:val="00C97738"/>
    <w:rsid w:val="00C97DB9"/>
    <w:rsid w:val="00CD3C73"/>
    <w:rsid w:val="00CE3F07"/>
    <w:rsid w:val="00D0498B"/>
    <w:rsid w:val="00D154CE"/>
    <w:rsid w:val="00D8700A"/>
    <w:rsid w:val="00DC26AB"/>
    <w:rsid w:val="00E0292A"/>
    <w:rsid w:val="00E43C35"/>
    <w:rsid w:val="00E753EF"/>
    <w:rsid w:val="00EE1C71"/>
    <w:rsid w:val="00EF46AF"/>
    <w:rsid w:val="00EF6FFC"/>
    <w:rsid w:val="00F86E69"/>
    <w:rsid w:val="00FC6CF9"/>
    <w:rsid w:val="00FD0029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7E63911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BA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191750"/>
    <w:rsid w:val="001B2904"/>
    <w:rsid w:val="005D6434"/>
    <w:rsid w:val="00660AD4"/>
    <w:rsid w:val="00832E32"/>
    <w:rsid w:val="008366DF"/>
    <w:rsid w:val="008A04DD"/>
    <w:rsid w:val="009C521E"/>
    <w:rsid w:val="009D41D1"/>
    <w:rsid w:val="009F6322"/>
    <w:rsid w:val="00AF28D9"/>
    <w:rsid w:val="00C2627A"/>
    <w:rsid w:val="00CF4479"/>
    <w:rsid w:val="00E211E0"/>
    <w:rsid w:val="00EE5233"/>
    <w:rsid w:val="00F6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5EB6-4734-4D99-9463-9773C38E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2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4915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6</cp:revision>
  <cp:lastPrinted>2016-04-27T15:10:00Z</cp:lastPrinted>
  <dcterms:created xsi:type="dcterms:W3CDTF">2017-01-05T16:32:00Z</dcterms:created>
  <dcterms:modified xsi:type="dcterms:W3CDTF">2017-03-21T19:34:00Z</dcterms:modified>
</cp:coreProperties>
</file>