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rPr>
          <w:b/>
        </w:rPr>
        <w:id w:val="178589626"/>
        <w:placeholder>
          <w:docPart w:val="3C2FA090DFF444CDA54FD040226AB9AE"/>
        </w:placeholder>
      </w:sdtPr>
      <w:sdtEndPr>
        <w:rPr>
          <w:b w:val="0"/>
        </w:rPr>
      </w:sdtEndPr>
      <w:sdtContent>
        <w:p w:rsidR="00EF46AF" w:rsidRDefault="00585DD1" w:rsidP="0092233D">
          <w:pPr>
            <w:jc w:val="center"/>
            <w:outlineLvl w:val="0"/>
          </w:pPr>
          <w:r w:rsidRPr="00C66CBB">
            <w:rPr>
              <w:b/>
            </w:rPr>
            <w:t xml:space="preserve"> </w:t>
          </w:r>
          <w:r w:rsidR="00AC21D6" w:rsidRPr="00C66CBB">
            <w:rPr>
              <w:b/>
            </w:rPr>
            <w:t>Beta-PROPIOLACTONE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tc>
          <w:tcPr>
            <w:tcW w:w="5148" w:type="dxa"/>
            <w:gridSpan w:val="2"/>
          </w:tcPr>
          <w:p w:rsidR="0075345E" w:rsidRDefault="0075345E" w:rsidP="00AC21D6"/>
        </w:tc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955"/>
        <w:gridCol w:w="6480"/>
      </w:tblGrid>
      <w:tr w:rsidR="009F1332" w:rsidTr="000B1644">
        <w:tc>
          <w:tcPr>
            <w:tcW w:w="395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480" w:type="dxa"/>
              </w:tcPr>
              <w:p w:rsidR="00B53C36" w:rsidRDefault="004A1D14" w:rsidP="00585DD1">
                <w:r w:rsidRPr="004A1D14">
                  <w:t>Beta-</w:t>
                </w:r>
                <w:proofErr w:type="spellStart"/>
                <w:r w:rsidRPr="004A1D14">
                  <w:t>Propiolactone</w:t>
                </w:r>
                <w:proofErr w:type="spellEnd"/>
                <w:r w:rsidR="00B53C36">
                  <w:t>:</w:t>
                </w:r>
              </w:p>
              <w:p w:rsidR="00B53C36" w:rsidRDefault="00B53C36" w:rsidP="00585DD1">
                <w:r w:rsidRPr="00B53C36">
                  <w:t>Maximum amount allowed without PI approval:</w:t>
                </w:r>
              </w:p>
              <w:p w:rsidR="009F1332" w:rsidRDefault="009F1332" w:rsidP="00585DD1"/>
            </w:tc>
          </w:sdtContent>
        </w:sdt>
      </w:tr>
      <w:tr w:rsidR="00B41090" w:rsidTr="000B1644">
        <w:tc>
          <w:tcPr>
            <w:tcW w:w="395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480" w:type="dxa"/>
              </w:tcPr>
              <w:p w:rsidR="00AA693E" w:rsidRDefault="00AA693E" w:rsidP="00937BC9">
                <w:r>
                  <w:t xml:space="preserve">Store containers tightly closed in a dry, cool and well-ventilated place. Store </w:t>
                </w:r>
                <w:r w:rsidR="00937BC9">
                  <w:t>away from open flames, hot surfaces and sources of ignition. Keep away from heat and sources of ignition. Protect fro</w:t>
                </w:r>
                <w:r>
                  <w:t xml:space="preserve">m light. Store in freezer. </w:t>
                </w:r>
                <w:r w:rsidR="0007346D">
                  <w:t>May polymerize upon storage.</w:t>
                </w:r>
              </w:p>
              <w:p w:rsidR="00C66CBB" w:rsidRDefault="00AA693E" w:rsidP="00AA693E">
                <w:r>
                  <w:t>Recommended storage temperature -20 °C.</w:t>
                </w:r>
              </w:p>
              <w:p w:rsidR="00B53C36" w:rsidRDefault="00B53C36" w:rsidP="00AA693E">
                <w:r>
                  <w:t>Designated S</w:t>
                </w:r>
                <w:r w:rsidR="00B6722F">
                  <w:t>torage</w:t>
                </w:r>
                <w:r>
                  <w:t xml:space="preserve"> Area</w:t>
                </w:r>
                <w:r w:rsidR="00B6722F">
                  <w:t>:</w:t>
                </w:r>
              </w:p>
              <w:p w:rsidR="00B41090" w:rsidRDefault="00B41090" w:rsidP="00AA693E"/>
            </w:tc>
          </w:sdtContent>
        </w:sdt>
      </w:tr>
      <w:tr w:rsidR="00847AB2" w:rsidTr="000B1644">
        <w:tc>
          <w:tcPr>
            <w:tcW w:w="3955" w:type="dxa"/>
          </w:tcPr>
          <w:p w:rsidR="00847AB2" w:rsidRDefault="00847AB2" w:rsidP="00BD49E9">
            <w:r>
              <w:t>Experimental Procedure</w:t>
            </w:r>
            <w:r w:rsidR="0036718C">
              <w:t xml:space="preserve"> and Lab Technique</w:t>
            </w:r>
            <w:r w:rsidR="00937BC9">
              <w:t xml:space="preserve">s to be Used: </w:t>
            </w:r>
          </w:p>
        </w:tc>
        <w:sdt>
          <w:sdtPr>
            <w:id w:val="17858963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480" w:type="dxa"/>
              </w:tcPr>
              <w:p w:rsidR="00847AB2" w:rsidRDefault="00AA693E" w:rsidP="0075345E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090" w:rsidTr="000B1644">
        <w:tc>
          <w:tcPr>
            <w:tcW w:w="395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48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585DD1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  <w:r w:rsidR="004A1D14">
                  <w:rPr>
                    <w:b/>
                  </w:rPr>
                  <w:t>57-57-8</w:t>
                </w:r>
              </w:p>
              <w:p w:rsidR="00940829" w:rsidRPr="00940829" w:rsidRDefault="0075345E" w:rsidP="0075345E">
                <w:r w:rsidRPr="00940829">
                  <w:rPr>
                    <w:b/>
                  </w:rPr>
                  <w:t xml:space="preserve">GHS Classification: </w:t>
                </w:r>
                <w:r w:rsidR="004A1D14">
                  <w:rPr>
                    <w:b/>
                  </w:rPr>
                  <w:t>Flammable liquid. Acutely toxic. Skin and eye irritant. Carcinogen.</w:t>
                </w:r>
              </w:p>
              <w:p w:rsidR="0000129C" w:rsidRDefault="004A1D14" w:rsidP="0000129C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Confirmed human carcinogen. </w:t>
                </w:r>
              </w:p>
              <w:p w:rsidR="0000129C" w:rsidRDefault="004A1D14" w:rsidP="0000129C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Poison by inhalation. Moderately toxic by intraperitoneal route. Fatal if inhaled. </w:t>
                </w:r>
              </w:p>
              <w:p w:rsidR="0000129C" w:rsidRDefault="004A1D14" w:rsidP="0000129C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Can cause serious skin and eye irritation. </w:t>
                </w:r>
                <w:r w:rsidR="00937BC9">
                  <w:t xml:space="preserve">Incompatible with </w:t>
                </w:r>
                <w:r w:rsidR="00937BC9" w:rsidRPr="00937BC9">
                  <w:t>alkalis</w:t>
                </w:r>
                <w:r w:rsidR="000B1644">
                  <w:t>, acetates, halogens</w:t>
                </w:r>
                <w:r w:rsidR="0007346D">
                  <w:t xml:space="preserve">, </w:t>
                </w:r>
                <w:proofErr w:type="spellStart"/>
                <w:r w:rsidR="0007346D">
                  <w:t>triocyanates</w:t>
                </w:r>
                <w:proofErr w:type="spellEnd"/>
                <w:r w:rsidR="0007346D">
                  <w:t xml:space="preserve">, </w:t>
                </w:r>
                <w:proofErr w:type="spellStart"/>
                <w:r w:rsidR="0007346D">
                  <w:t>triosulfates</w:t>
                </w:r>
                <w:proofErr w:type="spellEnd"/>
                <w:r w:rsidR="00937BC9" w:rsidRPr="00937BC9">
                  <w:t>.</w:t>
                </w:r>
                <w:r w:rsidR="000B1644">
                  <w:t xml:space="preserve"> </w:t>
                </w:r>
              </w:p>
              <w:p w:rsidR="0007346D" w:rsidRDefault="00937BC9" w:rsidP="0000129C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React with acids to produce</w:t>
                </w:r>
                <w:r w:rsidRPr="00937BC9">
                  <w:t xml:space="preserve"> heat along with alcohols and acids. Strong oxid</w:t>
                </w:r>
                <w:r>
                  <w:t>izing acids may cause an exothermic</w:t>
                </w:r>
                <w:r w:rsidRPr="00937BC9">
                  <w:t xml:space="preserve"> reaction th</w:t>
                </w:r>
                <w:r>
                  <w:t>at can ignite</w:t>
                </w:r>
                <w:r w:rsidRPr="00937BC9">
                  <w:t xml:space="preserve"> reaction pr</w:t>
                </w:r>
                <w:r>
                  <w:t>oducts.</w:t>
                </w:r>
              </w:p>
              <w:p w:rsidR="0007346D" w:rsidRDefault="00675FD9" w:rsidP="0075345E">
                <w:r>
                  <w:t>OSHA:</w:t>
                </w:r>
                <w:r w:rsidR="0007346D">
                  <w:t xml:space="preserve"> </w:t>
                </w:r>
                <w:r>
                  <w:t>Carcinogen</w:t>
                </w:r>
                <w:bookmarkStart w:id="0" w:name="_GoBack"/>
                <w:bookmarkEnd w:id="0"/>
              </w:p>
              <w:p w:rsidR="0007346D" w:rsidRDefault="00675FD9" w:rsidP="0075345E">
                <w:r>
                  <w:lastRenderedPageBreak/>
                  <w:t>NIOSH: C</w:t>
                </w:r>
                <w:r w:rsidR="0007346D">
                  <w:t>arcinogen</w:t>
                </w:r>
              </w:p>
              <w:p w:rsidR="0075345E" w:rsidRDefault="00D83546" w:rsidP="0075345E"/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C66CBB" w:rsidRDefault="00C66CBB" w:rsidP="0075345E"/>
        </w:tc>
      </w:tr>
      <w:tr w:rsidR="00B41090" w:rsidTr="000B1644">
        <w:tc>
          <w:tcPr>
            <w:tcW w:w="395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480" w:type="dxa"/>
              </w:tcPr>
              <w:p w:rsidR="00AA693E" w:rsidRDefault="00EB7455" w:rsidP="00BD49E9">
                <w:r>
                  <w:t>Use only in a</w:t>
                </w:r>
                <w:r w:rsidR="00AA693E">
                  <w:t xml:space="preserve"> chemical fume hood with adequate exhaust. </w:t>
                </w:r>
                <w:r w:rsidR="00937BC9" w:rsidRPr="00937BC9">
                  <w:t>Use explosion-proof equipment. Take precautionary measures against static discharges.</w:t>
                </w:r>
                <w:r w:rsidR="00AA693E">
                  <w:t xml:space="preserve"> </w:t>
                </w:r>
              </w:p>
              <w:p w:rsidR="00B53C36" w:rsidRDefault="00AA693E" w:rsidP="00BD49E9">
                <w:r>
                  <w:t>Sa</w:t>
                </w:r>
                <w:r w:rsidR="005D3A01">
                  <w:t>fety showers and eye wash must</w:t>
                </w:r>
                <w:r>
                  <w:t xml:space="preserve"> be readily available.  </w:t>
                </w:r>
              </w:p>
              <w:p w:rsidR="00B41090" w:rsidRDefault="00B41090" w:rsidP="00BD49E9"/>
            </w:tc>
          </w:sdtContent>
        </w:sdt>
      </w:tr>
      <w:tr w:rsidR="00B41090" w:rsidTr="000B1644">
        <w:tc>
          <w:tcPr>
            <w:tcW w:w="395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480" w:type="dxa"/>
              </w:tcPr>
              <w:p w:rsidR="000B1644" w:rsidRDefault="000B1644" w:rsidP="000B1644">
                <w:r>
                  <w:t xml:space="preserve">Use chemical resistant gloves, nitrile gloves are sufficient. </w:t>
                </w:r>
              </w:p>
              <w:p w:rsidR="000B1644" w:rsidRDefault="00C67606" w:rsidP="000B1644">
                <w:r>
                  <w:t xml:space="preserve">Wear tightly fitted safety gaggles, </w:t>
                </w:r>
                <w:proofErr w:type="spellStart"/>
                <w:r>
                  <w:t>faceshield</w:t>
                </w:r>
                <w:proofErr w:type="spellEnd"/>
                <w:r>
                  <w:t xml:space="preserve"> may be required</w:t>
                </w:r>
                <w:r w:rsidR="000B1644">
                  <w:t>.</w:t>
                </w:r>
              </w:p>
              <w:p w:rsidR="00C45589" w:rsidRDefault="000B1644" w:rsidP="000B1644">
                <w:r>
                  <w:t>Wear lab coat, long pants and closed-toe shoes</w:t>
                </w:r>
              </w:p>
              <w:p w:rsidR="00C67606" w:rsidRDefault="00C45589" w:rsidP="00C45589">
                <w:r w:rsidRPr="00C45589">
                  <w:t>Check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0B1644">
        <w:tc>
          <w:tcPr>
            <w:tcW w:w="395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480" w:type="dxa"/>
              </w:tcPr>
              <w:p w:rsidR="00C45589" w:rsidRDefault="00C67606" w:rsidP="00C45589">
                <w:r w:rsidRPr="00C67606">
                  <w:t>Waste should be colle</w:t>
                </w:r>
                <w:r w:rsidR="001F27AD">
                  <w:t>cted in tightly closed</w:t>
                </w:r>
                <w:r w:rsidRPr="00C67606">
                  <w:t xml:space="preserve"> container, in secondary containment and in a designated location inside a fume hood. Affix and complet</w:t>
                </w:r>
                <w:r>
                  <w:t xml:space="preserve">e hazardous waste label. </w:t>
                </w:r>
                <w:r w:rsidR="00C45589" w:rsidRPr="00C45589">
                  <w:t>Affix and complete hazardous waste label. Contact REHS for waste pick up.</w:t>
                </w:r>
                <w:r w:rsidR="005D3A01">
                  <w:t xml:space="preserve"> </w:t>
                </w:r>
                <w:hyperlink r:id="rId9" w:history="1">
                  <w:r w:rsidR="005D3A01" w:rsidRPr="00AF5F4A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0B1644">
        <w:tc>
          <w:tcPr>
            <w:tcW w:w="395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480" w:type="dxa"/>
              </w:tcPr>
              <w:p w:rsidR="00EB43AB" w:rsidRDefault="00C67606" w:rsidP="00EB43AB">
                <w:r>
                  <w:t xml:space="preserve">Evacuate personnel to safe area. </w:t>
                </w:r>
                <w:r w:rsidR="00EB43AB">
                  <w:t xml:space="preserve">Wear respiratory protection. Avoid breathing vapors, mist or gas. Ensure adequate ventilation. Remove all sources of ignition. </w:t>
                </w:r>
                <w:r w:rsidR="00EB43AB" w:rsidRPr="00EB43AB">
                  <w:t>Tak</w:t>
                </w:r>
                <w:r w:rsidR="00EB43AB">
                  <w:t>e measures to prevent the build</w:t>
                </w:r>
                <w:r>
                  <w:t>up of electrostatic charge</w:t>
                </w:r>
                <w:r w:rsidR="00EB43AB">
                  <w:t>. Beware of vapors accumulating t</w:t>
                </w:r>
                <w:r>
                  <w:t>o form explosive concentrations that</w:t>
                </w:r>
                <w:r w:rsidR="00EB43AB">
                  <w:t xml:space="preserve"> accumulate in low</w:t>
                </w:r>
                <w:r>
                  <w:t xml:space="preserve"> </w:t>
                </w:r>
                <w:r w:rsidR="00EB43AB">
                  <w:t>areas.</w:t>
                </w:r>
                <w:r w:rsidR="000B1644">
                  <w:t xml:space="preserve"> </w:t>
                </w:r>
                <w:r w:rsidR="000B1644" w:rsidRPr="000B1644">
                  <w:t xml:space="preserve">Soak up </w:t>
                </w:r>
                <w:r>
                  <w:t xml:space="preserve">the spill </w:t>
                </w:r>
                <w:r w:rsidR="000B1644" w:rsidRPr="000B1644">
                  <w:t>with inert absorbent material</w:t>
                </w:r>
                <w:r w:rsidR="000B1644">
                  <w:t>.</w:t>
                </w:r>
              </w:p>
              <w:p w:rsidR="00C67606" w:rsidRDefault="00EB43AB" w:rsidP="00BD49E9">
                <w:r>
                  <w:t>I</w:t>
                </w:r>
                <w:r w:rsidR="00C45589" w:rsidRPr="00C45589">
                  <w:t>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0B1644">
        <w:tc>
          <w:tcPr>
            <w:tcW w:w="395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480" w:type="dxa"/>
              </w:tcPr>
              <w:p w:rsidR="00C67606" w:rsidRDefault="00C67606" w:rsidP="00C67606">
                <w:r>
                  <w:t xml:space="preserve">Eyes: Flush eyes with warm water for 15 min. Seek medical attention. </w:t>
                </w:r>
              </w:p>
              <w:p w:rsidR="00C67606" w:rsidRDefault="00C67606" w:rsidP="00C67606">
                <w:r>
                  <w:t>Skin: Flush affected skin with plenty of water. Seek immediate medical attention.</w:t>
                </w:r>
              </w:p>
              <w:p w:rsidR="00C67606" w:rsidRDefault="00C67606" w:rsidP="00C67606">
                <w:r>
                  <w:t>Inhalation: Remove to fresh air. If breathing is difficult give oxygen. Seek medical attention.</w:t>
                </w:r>
              </w:p>
              <w:p w:rsidR="00C67606" w:rsidRDefault="00C67606" w:rsidP="00C67606">
                <w:r>
                  <w:t>Ingestion: Rinse mouth with water. Call poison center. Seek immediate medical attention.</w:t>
                </w:r>
              </w:p>
              <w:p w:rsidR="0054479E" w:rsidRDefault="0054479E" w:rsidP="00BD49E9"/>
            </w:tc>
          </w:sdtContent>
        </w:sdt>
      </w:tr>
    </w:tbl>
    <w:p w:rsidR="00181BE1" w:rsidRDefault="00181BE1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6CBB" w:rsidRDefault="00C66CBB" w:rsidP="00BD49E9"/>
    <w:p w:rsidR="00C67606" w:rsidRDefault="00C67606" w:rsidP="00BD49E9"/>
    <w:p w:rsidR="00C67606" w:rsidRDefault="00C67606" w:rsidP="00BD49E9"/>
    <w:p w:rsidR="00C67606" w:rsidRDefault="00C67606" w:rsidP="00BD49E9"/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t>Training</w:t>
      </w:r>
    </w:p>
    <w:p w:rsidR="00351F7C" w:rsidRDefault="00351F7C" w:rsidP="00BD49E9"/>
    <w:p w:rsidR="0036718C" w:rsidRDefault="006D531E" w:rsidP="0036718C">
      <w:pPr>
        <w:pStyle w:val="ListParagraph"/>
        <w:numPr>
          <w:ilvl w:val="0"/>
          <w:numId w:val="2"/>
        </w:numPr>
      </w:pPr>
      <w:r>
        <w:t>Prior to conducting any work with beta-</w:t>
      </w:r>
      <w:proofErr w:type="spellStart"/>
      <w:r>
        <w:t>propiolactone</w:t>
      </w:r>
      <w:proofErr w:type="spellEnd"/>
      <w:r w:rsidR="0036718C">
        <w:t>, designated personnel must be provided training specific to the hazard involved in working with the substance.</w:t>
      </w:r>
    </w:p>
    <w:p w:rsidR="0036718C" w:rsidRDefault="0036718C" w:rsidP="0036718C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36718C" w:rsidRDefault="0036718C" w:rsidP="0036718C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36718C" w:rsidRDefault="0036718C" w:rsidP="0036718C"/>
    <w:p w:rsidR="0036718C" w:rsidRDefault="0036718C" w:rsidP="0036718C">
      <w:r>
        <w:t>I have read and understood the content of this SOP and the SDS:</w:t>
      </w:r>
    </w:p>
    <w:p w:rsidR="0036718C" w:rsidRDefault="0036718C" w:rsidP="003671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BD49E9"/>
    <w:p w:rsidR="00C66CBB" w:rsidRDefault="00C66CBB" w:rsidP="00C66CB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C66CBB">
        <w:rPr>
          <w:b/>
          <w:sz w:val="32"/>
          <w:szCs w:val="32"/>
        </w:rPr>
        <w:t>Beta-PROPIOLACTONE</w:t>
      </w:r>
    </w:p>
    <w:p w:rsidR="00C66CBB" w:rsidRDefault="00C66CBB" w:rsidP="00C66CB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C66CBB">
        <w:rPr>
          <w:b/>
          <w:sz w:val="28"/>
          <w:szCs w:val="28"/>
        </w:rPr>
        <w:t>Flammable liquid. Acutely toxic. Skin and eye irritant. Carcinogen</w:t>
      </w:r>
      <w:r w:rsidRPr="00C66CBB">
        <w:rPr>
          <w:b/>
          <w:sz w:val="32"/>
          <w:szCs w:val="32"/>
        </w:rPr>
        <w:t>.</w:t>
      </w:r>
    </w:p>
    <w:p w:rsidR="00C66CBB" w:rsidRDefault="00B433A9" w:rsidP="00C66CB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5A5DD25">
            <wp:extent cx="1076325" cy="105029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48B45C92">
            <wp:extent cx="1095375" cy="112522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0D3796D1">
            <wp:extent cx="1040130" cy="97155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3A9" w:rsidRDefault="00B433A9" w:rsidP="00C66CB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B433A9" w:rsidRDefault="00B433A9" w:rsidP="00C66CB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FIRST AID</w:t>
      </w:r>
    </w:p>
    <w:p w:rsidR="00B433A9" w:rsidRDefault="00B433A9" w:rsidP="00C66CB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B433A9" w:rsidRPr="00B433A9" w:rsidRDefault="00B433A9" w:rsidP="00B433A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B433A9">
        <w:rPr>
          <w:b/>
          <w:sz w:val="28"/>
          <w:szCs w:val="28"/>
        </w:rPr>
        <w:t>Eyes:</w:t>
      </w:r>
      <w:r w:rsidRPr="00B433A9">
        <w:rPr>
          <w:sz w:val="28"/>
          <w:szCs w:val="28"/>
        </w:rPr>
        <w:t xml:space="preserve"> Flush eyes with warm water for 15 min. Seek medical attention. </w:t>
      </w:r>
    </w:p>
    <w:p w:rsidR="00B433A9" w:rsidRPr="00B433A9" w:rsidRDefault="00B433A9" w:rsidP="00B433A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B433A9">
        <w:rPr>
          <w:b/>
          <w:sz w:val="28"/>
          <w:szCs w:val="28"/>
        </w:rPr>
        <w:t>Skin</w:t>
      </w:r>
      <w:r w:rsidRPr="00B433A9">
        <w:rPr>
          <w:sz w:val="28"/>
          <w:szCs w:val="28"/>
        </w:rPr>
        <w:t>: Flush affected skin with plenty of water. Seek immediate medical attention.</w:t>
      </w:r>
    </w:p>
    <w:p w:rsidR="00B433A9" w:rsidRPr="00B433A9" w:rsidRDefault="00B433A9" w:rsidP="00B433A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B433A9">
        <w:rPr>
          <w:b/>
          <w:sz w:val="28"/>
          <w:szCs w:val="28"/>
        </w:rPr>
        <w:t>Inhalation</w:t>
      </w:r>
      <w:r w:rsidRPr="00B433A9">
        <w:rPr>
          <w:sz w:val="28"/>
          <w:szCs w:val="28"/>
        </w:rPr>
        <w:t>: Remove to fresh air. If breathing is difficult give oxygen. Seek medical attention.</w:t>
      </w:r>
    </w:p>
    <w:p w:rsidR="00B433A9" w:rsidRPr="00B433A9" w:rsidRDefault="00B433A9" w:rsidP="00B433A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B433A9">
        <w:rPr>
          <w:b/>
          <w:sz w:val="28"/>
          <w:szCs w:val="28"/>
        </w:rPr>
        <w:t>Ingestion</w:t>
      </w:r>
      <w:r w:rsidRPr="00B433A9">
        <w:rPr>
          <w:sz w:val="28"/>
          <w:szCs w:val="28"/>
        </w:rPr>
        <w:t>: Rinse mouth with water. Call poison center. Seek immediate medical attention.</w:t>
      </w:r>
    </w:p>
    <w:p w:rsidR="00B433A9" w:rsidRDefault="00B433A9" w:rsidP="00C66CB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B433A9" w:rsidRPr="00B433A9" w:rsidRDefault="00B433A9" w:rsidP="00B433A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 w:rsidRPr="00B433A9">
        <w:rPr>
          <w:b/>
          <w:sz w:val="28"/>
          <w:szCs w:val="28"/>
        </w:rPr>
        <w:t xml:space="preserve">DIAL 911                         </w:t>
      </w:r>
      <w:r>
        <w:rPr>
          <w:b/>
          <w:sz w:val="28"/>
          <w:szCs w:val="28"/>
        </w:rPr>
        <w:t xml:space="preserve">                    </w:t>
      </w:r>
      <w:r w:rsidRPr="00B433A9">
        <w:rPr>
          <w:b/>
          <w:sz w:val="28"/>
          <w:szCs w:val="28"/>
        </w:rPr>
        <w:t>Call REHS for more information 848-445-2550</w:t>
      </w:r>
    </w:p>
    <w:p w:rsidR="00C66CBB" w:rsidRPr="00C66CBB" w:rsidRDefault="00C66CBB" w:rsidP="00C66CB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p w:rsidR="00C67606" w:rsidRDefault="00C67606" w:rsidP="00BD49E9"/>
    <w:sectPr w:rsidR="00C67606" w:rsidSect="00B84990">
      <w:headerReference w:type="default" r:id="rId13"/>
      <w:headerReference w:type="first" r:id="rId14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546" w:rsidRDefault="00D83546">
      <w:r>
        <w:separator/>
      </w:r>
    </w:p>
  </w:endnote>
  <w:endnote w:type="continuationSeparator" w:id="0">
    <w:p w:rsidR="00D83546" w:rsidRDefault="00D8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546" w:rsidRDefault="00D83546">
      <w:r>
        <w:separator/>
      </w:r>
    </w:p>
  </w:footnote>
  <w:footnote w:type="continuationSeparator" w:id="0">
    <w:p w:rsidR="00D83546" w:rsidRDefault="00D8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37D"/>
    <w:multiLevelType w:val="hybridMultilevel"/>
    <w:tmpl w:val="63B4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B33E4"/>
    <w:multiLevelType w:val="hybridMultilevel"/>
    <w:tmpl w:val="F000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522B6"/>
    <w:multiLevelType w:val="hybridMultilevel"/>
    <w:tmpl w:val="7F348972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129C"/>
    <w:rsid w:val="00007DFA"/>
    <w:rsid w:val="00043FEC"/>
    <w:rsid w:val="00046D8A"/>
    <w:rsid w:val="000609DC"/>
    <w:rsid w:val="0007346D"/>
    <w:rsid w:val="000B1644"/>
    <w:rsid w:val="000F4FF3"/>
    <w:rsid w:val="001630DB"/>
    <w:rsid w:val="00167BA5"/>
    <w:rsid w:val="00181BE1"/>
    <w:rsid w:val="001E55B4"/>
    <w:rsid w:val="001F11BB"/>
    <w:rsid w:val="001F27AD"/>
    <w:rsid w:val="0020568E"/>
    <w:rsid w:val="00234AE1"/>
    <w:rsid w:val="00303CA7"/>
    <w:rsid w:val="003174AD"/>
    <w:rsid w:val="00351F7C"/>
    <w:rsid w:val="0036718C"/>
    <w:rsid w:val="003F576E"/>
    <w:rsid w:val="004447E4"/>
    <w:rsid w:val="00457155"/>
    <w:rsid w:val="00472121"/>
    <w:rsid w:val="004A1D14"/>
    <w:rsid w:val="004B2067"/>
    <w:rsid w:val="004C0151"/>
    <w:rsid w:val="004D56AC"/>
    <w:rsid w:val="0054479E"/>
    <w:rsid w:val="00585DD1"/>
    <w:rsid w:val="005A44DD"/>
    <w:rsid w:val="005B509E"/>
    <w:rsid w:val="005D3A01"/>
    <w:rsid w:val="00601677"/>
    <w:rsid w:val="00675FD9"/>
    <w:rsid w:val="006831EB"/>
    <w:rsid w:val="006B4491"/>
    <w:rsid w:val="006D531E"/>
    <w:rsid w:val="006E09E7"/>
    <w:rsid w:val="00726B76"/>
    <w:rsid w:val="0075345E"/>
    <w:rsid w:val="00753F91"/>
    <w:rsid w:val="00773928"/>
    <w:rsid w:val="007E46CF"/>
    <w:rsid w:val="00806AAF"/>
    <w:rsid w:val="0083441A"/>
    <w:rsid w:val="00847AB2"/>
    <w:rsid w:val="008D71BD"/>
    <w:rsid w:val="008F315B"/>
    <w:rsid w:val="008F53F3"/>
    <w:rsid w:val="0092233D"/>
    <w:rsid w:val="00937BC9"/>
    <w:rsid w:val="00940829"/>
    <w:rsid w:val="00942E81"/>
    <w:rsid w:val="009538A1"/>
    <w:rsid w:val="009F1332"/>
    <w:rsid w:val="00A03DDF"/>
    <w:rsid w:val="00A85CBF"/>
    <w:rsid w:val="00AA2D7E"/>
    <w:rsid w:val="00AA693E"/>
    <w:rsid w:val="00AC21D6"/>
    <w:rsid w:val="00B07DDF"/>
    <w:rsid w:val="00B10107"/>
    <w:rsid w:val="00B26B2E"/>
    <w:rsid w:val="00B41090"/>
    <w:rsid w:val="00B433A9"/>
    <w:rsid w:val="00B53C36"/>
    <w:rsid w:val="00B6722F"/>
    <w:rsid w:val="00B84990"/>
    <w:rsid w:val="00BA5A5A"/>
    <w:rsid w:val="00BD49E9"/>
    <w:rsid w:val="00BF04B2"/>
    <w:rsid w:val="00BF4E45"/>
    <w:rsid w:val="00C45589"/>
    <w:rsid w:val="00C50B89"/>
    <w:rsid w:val="00C66CBB"/>
    <w:rsid w:val="00C67606"/>
    <w:rsid w:val="00C97738"/>
    <w:rsid w:val="00C97DB9"/>
    <w:rsid w:val="00CD12DF"/>
    <w:rsid w:val="00CD3C73"/>
    <w:rsid w:val="00D154CE"/>
    <w:rsid w:val="00D4725D"/>
    <w:rsid w:val="00D83546"/>
    <w:rsid w:val="00DC26AB"/>
    <w:rsid w:val="00E0292A"/>
    <w:rsid w:val="00EB43AB"/>
    <w:rsid w:val="00EB7455"/>
    <w:rsid w:val="00EF46AF"/>
    <w:rsid w:val="00F93C0C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4519CF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367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191750"/>
    <w:rsid w:val="001B2904"/>
    <w:rsid w:val="002707EC"/>
    <w:rsid w:val="002B2794"/>
    <w:rsid w:val="002E4304"/>
    <w:rsid w:val="00381EAC"/>
    <w:rsid w:val="004F02A6"/>
    <w:rsid w:val="00562F05"/>
    <w:rsid w:val="006304E0"/>
    <w:rsid w:val="00660AD4"/>
    <w:rsid w:val="007D1F47"/>
    <w:rsid w:val="008366DF"/>
    <w:rsid w:val="008738A9"/>
    <w:rsid w:val="009C521E"/>
    <w:rsid w:val="00A414A3"/>
    <w:rsid w:val="00AF28D9"/>
    <w:rsid w:val="00F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3BB8-4057-4308-BBD9-B37D9AB6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3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5001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7</cp:revision>
  <cp:lastPrinted>2016-04-27T15:10:00Z</cp:lastPrinted>
  <dcterms:created xsi:type="dcterms:W3CDTF">2017-01-05T14:51:00Z</dcterms:created>
  <dcterms:modified xsi:type="dcterms:W3CDTF">2017-03-10T20:23:00Z</dcterms:modified>
</cp:coreProperties>
</file>