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id w:val="178589626"/>
        <w:placeholder>
          <w:docPart w:val="3C2FA090DFF444CDA54FD040226AB9AE"/>
        </w:placeholder>
      </w:sdtPr>
      <w:sdtEndPr/>
      <w:sdtContent>
        <w:p w:rsidR="00EF46AF" w:rsidRDefault="00585DD1" w:rsidP="0092233D">
          <w:pPr>
            <w:jc w:val="center"/>
            <w:outlineLvl w:val="0"/>
          </w:pPr>
          <w:r>
            <w:t xml:space="preserve"> </w:t>
          </w:r>
          <w:r w:rsidR="00C47AED" w:rsidRPr="00C47AED">
            <w:rPr>
              <w:b/>
            </w:rPr>
            <w:t>BIS-CHLOROMETHYL-</w:t>
          </w:r>
          <w:r w:rsidR="001A44B4" w:rsidRPr="00C47AED">
            <w:rPr>
              <w:b/>
            </w:rPr>
            <w:t>ETHER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045"/>
        <w:gridCol w:w="6300"/>
      </w:tblGrid>
      <w:tr w:rsidR="009F1332" w:rsidTr="00BA0146">
        <w:tc>
          <w:tcPr>
            <w:tcW w:w="404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D45342" w:rsidRDefault="00C47AED" w:rsidP="00585DD1">
                <w:proofErr w:type="spellStart"/>
                <w:r>
                  <w:t>Bis</w:t>
                </w:r>
                <w:proofErr w:type="spellEnd"/>
                <w:r>
                  <w:t>-</w:t>
                </w:r>
                <w:proofErr w:type="spellStart"/>
                <w:r>
                  <w:t>chloromethyl</w:t>
                </w:r>
                <w:proofErr w:type="spellEnd"/>
                <w:r>
                  <w:t>-</w:t>
                </w:r>
                <w:r w:rsidR="001A44B4">
                  <w:t>ether</w:t>
                </w:r>
                <w:r w:rsidR="00D45342">
                  <w:t>:</w:t>
                </w:r>
              </w:p>
              <w:p w:rsidR="00D45342" w:rsidRDefault="00D45342" w:rsidP="00585DD1">
                <w:r w:rsidRPr="00D45342">
                  <w:t>Maximum amount allowed without PI approval:</w:t>
                </w:r>
              </w:p>
              <w:p w:rsidR="009F1332" w:rsidRDefault="009F1332" w:rsidP="00585DD1"/>
            </w:tc>
          </w:sdtContent>
        </w:sdt>
      </w:tr>
      <w:tr w:rsidR="00B41090" w:rsidTr="00BA0146">
        <w:tc>
          <w:tcPr>
            <w:tcW w:w="4045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FB7C66" w:rsidRDefault="00FB7C66" w:rsidP="00FB7C66">
                <w:r>
                  <w:t>Store container tightly closed in a dry, cool and well ventilated place. Containers which are opened must be carefully resealed and kept upright to prevent leakage</w:t>
                </w:r>
                <w:r w:rsidR="00E94F79">
                  <w:t>.</w:t>
                </w:r>
              </w:p>
              <w:p w:rsidR="00B41090" w:rsidRDefault="00D45342" w:rsidP="00FB7C66">
                <w:r>
                  <w:t>Designated S</w:t>
                </w:r>
                <w:r w:rsidR="00747427">
                  <w:t>torage</w:t>
                </w:r>
                <w:r>
                  <w:t xml:space="preserve"> Area</w:t>
                </w:r>
                <w:r w:rsidR="00747427">
                  <w:t>:</w:t>
                </w:r>
              </w:p>
            </w:tc>
          </w:sdtContent>
        </w:sdt>
      </w:tr>
      <w:tr w:rsidR="00847AB2" w:rsidTr="00BA0146">
        <w:tc>
          <w:tcPr>
            <w:tcW w:w="4045" w:type="dxa"/>
          </w:tcPr>
          <w:p w:rsidR="00847AB2" w:rsidRDefault="00847AB2" w:rsidP="00BD49E9">
            <w:r>
              <w:t>Experimental Procedure</w:t>
            </w:r>
            <w:r w:rsidR="00BA0146">
              <w:t xml:space="preserve"> and Lab Technics to be Used: </w:t>
            </w:r>
          </w:p>
        </w:tc>
        <w:sdt>
          <w:sdtPr>
            <w:id w:val="17858963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6300" w:type="dxa"/>
              </w:tcPr>
              <w:p w:rsidR="00847AB2" w:rsidRDefault="00BA0146" w:rsidP="0075345E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1090" w:rsidTr="00BA0146">
        <w:tc>
          <w:tcPr>
            <w:tcW w:w="404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630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940829" w:rsidRDefault="0075345E" w:rsidP="00585DD1">
                <w:pPr>
                  <w:rPr>
                    <w:b/>
                  </w:rPr>
                </w:pPr>
                <w:r w:rsidRPr="00940829">
                  <w:rPr>
                    <w:b/>
                  </w:rPr>
                  <w:t>CAS #</w:t>
                </w:r>
                <w:r w:rsidR="00585DD1" w:rsidRPr="00940829">
                  <w:rPr>
                    <w:b/>
                  </w:rPr>
                  <w:t xml:space="preserve"> </w:t>
                </w:r>
                <w:r w:rsidR="001A44B4">
                  <w:rPr>
                    <w:b/>
                  </w:rPr>
                  <w:t>542-88-1</w:t>
                </w:r>
              </w:p>
              <w:p w:rsidR="00940829" w:rsidRDefault="0075345E" w:rsidP="0075345E">
                <w:pPr>
                  <w:rPr>
                    <w:b/>
                  </w:rPr>
                </w:pPr>
                <w:r w:rsidRPr="00940829">
                  <w:rPr>
                    <w:b/>
                  </w:rPr>
                  <w:t xml:space="preserve">GHS Classification: </w:t>
                </w:r>
                <w:r w:rsidR="00BA0146">
                  <w:rPr>
                    <w:b/>
                  </w:rPr>
                  <w:t>Flammable liquid. Carcinogen. Acutely toxic by oral, inhalation or skin exposure.</w:t>
                </w:r>
              </w:p>
              <w:p w:rsidR="00F442C7" w:rsidRDefault="00BA0146" w:rsidP="00F442C7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Confirmed human carcinogen, lung most affected. </w:t>
                </w:r>
              </w:p>
              <w:p w:rsidR="00BA0146" w:rsidRPr="00940829" w:rsidRDefault="00BA0146" w:rsidP="00F442C7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Poison by inhalation, ingestion and skin contact. </w:t>
                </w:r>
              </w:p>
              <w:p w:rsidR="00F442C7" w:rsidRDefault="00BA0146" w:rsidP="00F442C7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Dangerous fire hazard. </w:t>
                </w:r>
              </w:p>
              <w:p w:rsidR="00012A6E" w:rsidRDefault="00BA0146" w:rsidP="00F442C7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Degrades rapidly and easily evaporates into air. </w:t>
                </w:r>
                <w:r w:rsidR="00FB7C66">
                  <w:t xml:space="preserve">In aqueous solutions, it is rapidly hydrolyzed to form hydrochloric acid and formaldehyde. </w:t>
                </w:r>
                <w:r>
                  <w:t xml:space="preserve">When heated to decomposition it emits toxic fumes of hydrochloric acid and other chlorinated compounds. </w:t>
                </w:r>
              </w:p>
              <w:p w:rsidR="00012A6E" w:rsidRDefault="0075205C" w:rsidP="0075345E">
                <w:r>
                  <w:t>OSHA: Carcinogen</w:t>
                </w:r>
              </w:p>
              <w:p w:rsidR="0075345E" w:rsidRDefault="0075205C" w:rsidP="0075345E">
                <w:r>
                  <w:t>NIOSH: C</w:t>
                </w:r>
                <w:r w:rsidR="00012A6E">
                  <w:t>arcinogen</w:t>
                </w:r>
              </w:p>
            </w:sdtContent>
          </w:sdt>
          <w:p w:rsidR="00B41090" w:rsidRDefault="0075345E" w:rsidP="0075345E">
            <w:r w:rsidRPr="0075345E">
              <w:t>Review MSDS/SDS prior to wor</w:t>
            </w:r>
            <w:bookmarkStart w:id="0" w:name="_GoBack"/>
            <w:bookmarkEnd w:id="0"/>
            <w:r w:rsidRPr="0075345E">
              <w:t>king with chemical.</w:t>
            </w:r>
          </w:p>
          <w:p w:rsidR="00E94F79" w:rsidRDefault="00E94F79" w:rsidP="0075345E"/>
        </w:tc>
      </w:tr>
      <w:tr w:rsidR="00B41090" w:rsidTr="00BA0146">
        <w:tc>
          <w:tcPr>
            <w:tcW w:w="4045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FB7C66" w:rsidRDefault="00FB7C66" w:rsidP="00FB7C66">
                <w:r>
                  <w:t>Use in chemical fume hood with adequate exhaust.</w:t>
                </w:r>
              </w:p>
              <w:p w:rsidR="00B41090" w:rsidRDefault="00FB7C66" w:rsidP="00FB7C66">
                <w:r>
                  <w:t>E</w:t>
                </w:r>
                <w:r w:rsidR="002A1542">
                  <w:t>yewash and safety showers must</w:t>
                </w:r>
                <w:r>
                  <w:t xml:space="preserve"> be readily available.</w:t>
                </w:r>
              </w:p>
            </w:tc>
          </w:sdtContent>
        </w:sdt>
      </w:tr>
      <w:tr w:rsidR="00B41090" w:rsidTr="00BA0146">
        <w:tc>
          <w:tcPr>
            <w:tcW w:w="4045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E034FB" w:rsidRDefault="00E034FB" w:rsidP="00C45589">
                <w:r>
                  <w:t>Always handle with gloves. Fluorinated rubber</w:t>
                </w:r>
                <w:r w:rsidR="00504FDD">
                  <w:t xml:space="preserve">, </w:t>
                </w:r>
                <w:r w:rsidR="00504FDD" w:rsidRPr="00504FDD">
                  <w:t xml:space="preserve">nitrile or chloroprene </w:t>
                </w:r>
                <w:r>
                  <w:t xml:space="preserve">gloves are sufficient. Wear safety glasses or goggles. </w:t>
                </w:r>
                <w:proofErr w:type="spellStart"/>
                <w:r>
                  <w:t>Faceshield</w:t>
                </w:r>
                <w:proofErr w:type="spellEnd"/>
                <w:r>
                  <w:t xml:space="preserve"> may be recommended. Wear </w:t>
                </w:r>
                <w:r w:rsidRPr="00E034FB">
                  <w:t xml:space="preserve">flame resistant lab coat (100% cotton based), </w:t>
                </w:r>
                <w:r>
                  <w:t>full length pants and</w:t>
                </w:r>
                <w:r w:rsidRPr="00E034FB">
                  <w:t xml:space="preserve"> closed-toe shoes.</w:t>
                </w:r>
              </w:p>
              <w:p w:rsidR="00E034FB" w:rsidRDefault="00C45589" w:rsidP="00C45589">
                <w:r w:rsidRPr="00C45589">
                  <w:t>Check with glove manufacturer for more info.</w:t>
                </w:r>
              </w:p>
              <w:p w:rsidR="00B41090" w:rsidRDefault="00B41090" w:rsidP="00C45589"/>
            </w:tc>
          </w:sdtContent>
        </w:sdt>
      </w:tr>
      <w:tr w:rsidR="00B41090" w:rsidTr="00BA0146">
        <w:tc>
          <w:tcPr>
            <w:tcW w:w="404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C45589" w:rsidRDefault="00E94F79" w:rsidP="00C45589">
                <w:r w:rsidRPr="00E94F79">
                  <w:t>Waste should be collec</w:t>
                </w:r>
                <w:r w:rsidR="00BA2DAB">
                  <w:t xml:space="preserve">ted in tightly closed </w:t>
                </w:r>
                <w:r w:rsidRPr="00E94F79">
                  <w:t>container, in secondary containment and in a designated location insid</w:t>
                </w:r>
                <w:r>
                  <w:t xml:space="preserve">e a fume hood. </w:t>
                </w:r>
                <w:r w:rsidR="00C45589" w:rsidRPr="00C45589">
                  <w:t>Affix and complete hazardous waste label. Contact REHS for waste pick up.</w:t>
                </w:r>
              </w:p>
              <w:p w:rsidR="002A1542" w:rsidRDefault="009F3772" w:rsidP="00C45589">
                <w:hyperlink r:id="rId9" w:history="1">
                  <w:r w:rsidR="002A1542" w:rsidRPr="007654A0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BD49E9"/>
            </w:tc>
          </w:sdtContent>
        </w:sdt>
      </w:tr>
      <w:tr w:rsidR="0054479E" w:rsidTr="00BA0146">
        <w:tc>
          <w:tcPr>
            <w:tcW w:w="404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504FDD" w:rsidRDefault="00E94F79" w:rsidP="00E94F79">
                <w:r>
                  <w:t>Wear appropriate protective equipment. Avoid breathing vapo</w:t>
                </w:r>
                <w:r w:rsidR="00504FDD">
                  <w:t>rs, mist or gas. Ensure adequate ventilation. Remove all sources of ignition. Evacuate personne</w:t>
                </w:r>
                <w:r>
                  <w:t>l to safe areas. Beware of vapo</w:t>
                </w:r>
                <w:r w:rsidR="00504FDD">
                  <w:t xml:space="preserve">rs accumulating to form explosive </w:t>
                </w:r>
                <w:r>
                  <w:t>concentrations. Vapo</w:t>
                </w:r>
                <w:r w:rsidR="00504FDD">
                  <w:t>rs can accumulate in low areas.</w:t>
                </w:r>
                <w:r>
                  <w:t xml:space="preserve"> Contain spill, and then collect with an electrically protected vacuum cleaner or by wet brushing and place in container for disposal.</w:t>
                </w:r>
              </w:p>
              <w:p w:rsidR="00E94F79" w:rsidRDefault="00C45589" w:rsidP="00BD49E9">
                <w:r w:rsidRPr="00C45589">
                  <w:t>If a spill happened outside fume hood, on floor, on bench or outside the lab contact REHS for clean up or call 911.</w:t>
                </w:r>
              </w:p>
              <w:p w:rsidR="0054479E" w:rsidRDefault="0054479E" w:rsidP="00BD49E9"/>
            </w:tc>
          </w:sdtContent>
        </w:sdt>
      </w:tr>
      <w:tr w:rsidR="0054479E" w:rsidTr="00BA0146">
        <w:tc>
          <w:tcPr>
            <w:tcW w:w="4045" w:type="dxa"/>
          </w:tcPr>
          <w:p w:rsidR="0054479E" w:rsidRDefault="00E034FB" w:rsidP="00BD49E9">
            <w:r>
              <w:t xml:space="preserve"> </w:t>
            </w:r>
            <w:r w:rsidR="0075345E"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6300" w:type="dxa"/>
              </w:tcPr>
              <w:p w:rsidR="00E94F79" w:rsidRDefault="00E94F79" w:rsidP="00E94F79">
                <w:r w:rsidRPr="00E94F79">
                  <w:rPr>
                    <w:b/>
                  </w:rPr>
                  <w:t>Eyes</w:t>
                </w:r>
                <w:r>
                  <w:t>: Flush eyes with warm water for 15 min as a precaution.</w:t>
                </w:r>
              </w:p>
              <w:p w:rsidR="00E94F79" w:rsidRDefault="00E94F79" w:rsidP="00E94F79">
                <w:r w:rsidRPr="00E94F79">
                  <w:rPr>
                    <w:b/>
                  </w:rPr>
                  <w:t>Skin</w:t>
                </w:r>
                <w:r w:rsidR="009B3A56">
                  <w:t>: Wash</w:t>
                </w:r>
                <w:r>
                  <w:t xml:space="preserve"> affected skin with </w:t>
                </w:r>
                <w:r w:rsidR="009B3A56">
                  <w:t xml:space="preserve">mild soap and </w:t>
                </w:r>
                <w:r>
                  <w:t>plenty of water. Consult a physician.</w:t>
                </w:r>
              </w:p>
              <w:p w:rsidR="00E94F79" w:rsidRDefault="00E94F79" w:rsidP="00E94F79">
                <w:r w:rsidRPr="009B3A56">
                  <w:rPr>
                    <w:b/>
                  </w:rPr>
                  <w:t>Inhalation</w:t>
                </w:r>
                <w:r>
                  <w:t>: Remove to fresh air. If breathing is difficult giv</w:t>
                </w:r>
                <w:r w:rsidR="009B3A56">
                  <w:t>e oxygen. Consult a physician</w:t>
                </w:r>
                <w:r>
                  <w:t>.</w:t>
                </w:r>
              </w:p>
              <w:p w:rsidR="009B3A56" w:rsidRDefault="00E94F79" w:rsidP="00E94F79">
                <w:r w:rsidRPr="009B3A56">
                  <w:rPr>
                    <w:b/>
                  </w:rPr>
                  <w:t>Ingestion:</w:t>
                </w:r>
                <w:r>
                  <w:t xml:space="preserve"> Rinse mouth with water. Consult a physician.</w:t>
                </w:r>
              </w:p>
              <w:p w:rsidR="0054479E" w:rsidRDefault="0054479E" w:rsidP="00E94F79"/>
            </w:tc>
          </w:sdtContent>
        </w:sdt>
      </w:tr>
    </w:tbl>
    <w:p w:rsidR="00181BE1" w:rsidRDefault="00181BE1" w:rsidP="00BD49E9"/>
    <w:p w:rsidR="00E94F79" w:rsidRDefault="00E94F79" w:rsidP="00BD49E9"/>
    <w:p w:rsidR="00E94F79" w:rsidRDefault="00E94F79" w:rsidP="00BD49E9"/>
    <w:p w:rsidR="00E94F79" w:rsidRDefault="00E94F79" w:rsidP="00BD49E9"/>
    <w:p w:rsidR="00E94F79" w:rsidRDefault="00E94F79" w:rsidP="00BD49E9"/>
    <w:p w:rsidR="00E94F79" w:rsidRDefault="00E94F79" w:rsidP="00BD49E9"/>
    <w:p w:rsidR="00E94F79" w:rsidRDefault="00E94F79" w:rsidP="00BD49E9"/>
    <w:p w:rsidR="00E94F79" w:rsidRDefault="00E94F79" w:rsidP="00BD49E9"/>
    <w:p w:rsidR="00E94F79" w:rsidRDefault="00E94F79" w:rsidP="00BD49E9"/>
    <w:p w:rsidR="00E94F79" w:rsidRDefault="00E94F79" w:rsidP="00BD49E9"/>
    <w:p w:rsidR="00E94F79" w:rsidRDefault="00E94F79" w:rsidP="00BD49E9"/>
    <w:p w:rsidR="00E94F79" w:rsidRDefault="00E94F79" w:rsidP="00BD49E9"/>
    <w:p w:rsidR="00E94F79" w:rsidRDefault="00E94F79" w:rsidP="00BD49E9"/>
    <w:p w:rsidR="00E94F79" w:rsidRDefault="00E94F79" w:rsidP="00BD49E9"/>
    <w:p w:rsidR="00E94F79" w:rsidRDefault="00E94F79" w:rsidP="00BD49E9"/>
    <w:p w:rsidR="00E94F79" w:rsidRDefault="00E94F79" w:rsidP="00BD49E9"/>
    <w:p w:rsidR="00E94F79" w:rsidRDefault="00E94F79" w:rsidP="00BD49E9"/>
    <w:p w:rsidR="00E94F79" w:rsidRDefault="00E94F79" w:rsidP="00BD49E9"/>
    <w:p w:rsidR="00E94F79" w:rsidRDefault="00E94F79" w:rsidP="00BD49E9"/>
    <w:p w:rsidR="00351F7C" w:rsidRP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t>Training</w:t>
      </w:r>
    </w:p>
    <w:p w:rsidR="00351F7C" w:rsidRDefault="00351F7C" w:rsidP="00BD49E9"/>
    <w:p w:rsidR="0089154D" w:rsidRDefault="00012A6E" w:rsidP="0089154D">
      <w:pPr>
        <w:pStyle w:val="ListParagraph"/>
        <w:numPr>
          <w:ilvl w:val="0"/>
          <w:numId w:val="2"/>
        </w:numPr>
      </w:pPr>
      <w:r>
        <w:t xml:space="preserve">Prior to conducting any work with </w:t>
      </w:r>
      <w:proofErr w:type="spellStart"/>
      <w:r>
        <w:t>bis</w:t>
      </w:r>
      <w:proofErr w:type="spellEnd"/>
      <w:r>
        <w:t>-</w:t>
      </w:r>
      <w:proofErr w:type="spellStart"/>
      <w:r>
        <w:t>chloromethyl</w:t>
      </w:r>
      <w:proofErr w:type="spellEnd"/>
      <w:r>
        <w:t>-ether</w:t>
      </w:r>
      <w:r w:rsidR="0089154D">
        <w:t>, designated personnel must be provided training specific to the hazard involved in working with the substance.</w:t>
      </w:r>
    </w:p>
    <w:p w:rsidR="0089154D" w:rsidRDefault="0089154D" w:rsidP="0089154D">
      <w:pPr>
        <w:pStyle w:val="ListParagraph"/>
        <w:numPr>
          <w:ilvl w:val="0"/>
          <w:numId w:val="2"/>
        </w:numPr>
      </w:pPr>
      <w:r>
        <w:t xml:space="preserve">The PI must provide his/her lab personnel with a copy of the SOP and a copy of the SDS provided with the manufacturer. </w:t>
      </w:r>
    </w:p>
    <w:p w:rsidR="0089154D" w:rsidRDefault="0089154D" w:rsidP="0089154D">
      <w:pPr>
        <w:pStyle w:val="ListParagraph"/>
        <w:numPr>
          <w:ilvl w:val="0"/>
          <w:numId w:val="2"/>
        </w:numPr>
      </w:pPr>
      <w:r>
        <w:t xml:space="preserve">The PI must ensure that his/her lab personnel have attended and are up to date on the appropriate laboratory safety training within the last year. </w:t>
      </w:r>
    </w:p>
    <w:p w:rsidR="0089154D" w:rsidRDefault="0089154D" w:rsidP="0089154D"/>
    <w:p w:rsidR="0089154D" w:rsidRDefault="0089154D" w:rsidP="0089154D">
      <w:r>
        <w:t>I have read and understood the content of this SOP and the SDS:</w:t>
      </w:r>
    </w:p>
    <w:p w:rsidR="0089154D" w:rsidRDefault="0089154D" w:rsidP="008915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BD49E9"/>
    <w:p w:rsidR="009B3A56" w:rsidRDefault="009B3A56" w:rsidP="009B3A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9B3A56">
        <w:rPr>
          <w:b/>
          <w:sz w:val="32"/>
          <w:szCs w:val="32"/>
        </w:rPr>
        <w:t>BIS-CHLOROMETHYL-ETHER</w:t>
      </w:r>
    </w:p>
    <w:p w:rsidR="009B3A56" w:rsidRDefault="009B3A56" w:rsidP="009B3A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9B3A56" w:rsidRPr="009B3A56" w:rsidRDefault="009B3A56" w:rsidP="009B3A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9B3A56">
        <w:rPr>
          <w:b/>
          <w:sz w:val="28"/>
          <w:szCs w:val="28"/>
        </w:rPr>
        <w:t>Flammable liquid. Carcinogen. Acutely toxic by oral, inhalation or skin exposure.</w:t>
      </w:r>
    </w:p>
    <w:p w:rsidR="009B3A56" w:rsidRDefault="009B3A56" w:rsidP="009B3A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86A107B">
            <wp:extent cx="1038225" cy="105537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335DA49A">
            <wp:extent cx="1123950" cy="11156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51918DC4">
            <wp:extent cx="1000125" cy="988695"/>
            <wp:effectExtent l="0" t="0" r="9525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3A56" w:rsidRDefault="009B3A56" w:rsidP="009B3A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9B3A56" w:rsidRDefault="009B3A56" w:rsidP="009B3A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FIRST AID</w:t>
      </w:r>
    </w:p>
    <w:p w:rsidR="009B3A56" w:rsidRPr="009B3A56" w:rsidRDefault="009B3A56" w:rsidP="009B3A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9B3A56">
        <w:rPr>
          <w:b/>
          <w:sz w:val="28"/>
          <w:szCs w:val="28"/>
        </w:rPr>
        <w:t>Eyes</w:t>
      </w:r>
      <w:r w:rsidRPr="009B3A56">
        <w:rPr>
          <w:sz w:val="28"/>
          <w:szCs w:val="28"/>
        </w:rPr>
        <w:t>: Flush eyes with warm water for 15 min as a precaution.</w:t>
      </w:r>
    </w:p>
    <w:p w:rsidR="009B3A56" w:rsidRPr="009B3A56" w:rsidRDefault="009B3A56" w:rsidP="009B3A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9B3A56">
        <w:rPr>
          <w:b/>
          <w:sz w:val="28"/>
          <w:szCs w:val="28"/>
        </w:rPr>
        <w:t>Skin</w:t>
      </w:r>
      <w:r w:rsidRPr="009B3A56">
        <w:rPr>
          <w:sz w:val="28"/>
          <w:szCs w:val="28"/>
        </w:rPr>
        <w:t>: Wash affected skin with mild soap and plenty of water. Consult a physician.</w:t>
      </w:r>
    </w:p>
    <w:p w:rsidR="009B3A56" w:rsidRPr="009B3A56" w:rsidRDefault="009B3A56" w:rsidP="009B3A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9B3A56">
        <w:rPr>
          <w:b/>
          <w:sz w:val="28"/>
          <w:szCs w:val="28"/>
        </w:rPr>
        <w:t>Inhalation:</w:t>
      </w:r>
      <w:r w:rsidRPr="009B3A56">
        <w:rPr>
          <w:sz w:val="28"/>
          <w:szCs w:val="28"/>
        </w:rPr>
        <w:t xml:space="preserve"> Remove to fresh air. If breathing is difficult give oxygen. Consult a physician.</w:t>
      </w:r>
    </w:p>
    <w:p w:rsidR="009B3A56" w:rsidRDefault="009B3A56" w:rsidP="009B3A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9B3A56">
        <w:rPr>
          <w:b/>
          <w:sz w:val="28"/>
          <w:szCs w:val="28"/>
        </w:rPr>
        <w:t>Ingestion</w:t>
      </w:r>
      <w:r w:rsidRPr="009B3A56">
        <w:rPr>
          <w:sz w:val="28"/>
          <w:szCs w:val="28"/>
        </w:rPr>
        <w:t>: Rinse mouth with water. Consult a physician</w:t>
      </w:r>
      <w:r>
        <w:rPr>
          <w:sz w:val="28"/>
          <w:szCs w:val="28"/>
        </w:rPr>
        <w:t>.</w:t>
      </w:r>
    </w:p>
    <w:p w:rsidR="009B3A56" w:rsidRDefault="009B3A56" w:rsidP="009B3A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9B3A56" w:rsidRPr="009B3A56" w:rsidRDefault="009B3A56" w:rsidP="009B3A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  <w:r w:rsidRPr="009B3A56">
        <w:rPr>
          <w:b/>
          <w:sz w:val="28"/>
          <w:szCs w:val="28"/>
        </w:rPr>
        <w:t xml:space="preserve">DIAL 911     </w:t>
      </w:r>
      <w:r w:rsidR="00CC3CF5">
        <w:rPr>
          <w:b/>
          <w:sz w:val="28"/>
          <w:szCs w:val="28"/>
        </w:rPr>
        <w:t xml:space="preserve">                                        </w:t>
      </w:r>
      <w:r w:rsidRPr="009B3A56">
        <w:rPr>
          <w:b/>
          <w:sz w:val="28"/>
          <w:szCs w:val="28"/>
        </w:rPr>
        <w:t>Call REHS for more information 848-455-2550</w:t>
      </w:r>
    </w:p>
    <w:p w:rsidR="009B3A56" w:rsidRPr="00CC3CF5" w:rsidRDefault="009B3A56" w:rsidP="009B3A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4"/>
          <w:szCs w:val="24"/>
        </w:rPr>
      </w:pPr>
    </w:p>
    <w:sectPr w:rsidR="009B3A56" w:rsidRPr="00CC3CF5" w:rsidSect="00B84990">
      <w:headerReference w:type="default" r:id="rId13"/>
      <w:headerReference w:type="first" r:id="rId14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72" w:rsidRDefault="009F3772">
      <w:r>
        <w:separator/>
      </w:r>
    </w:p>
  </w:endnote>
  <w:endnote w:type="continuationSeparator" w:id="0">
    <w:p w:rsidR="009F3772" w:rsidRDefault="009F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72" w:rsidRDefault="009F3772">
      <w:r>
        <w:separator/>
      </w:r>
    </w:p>
  </w:footnote>
  <w:footnote w:type="continuationSeparator" w:id="0">
    <w:p w:rsidR="009F3772" w:rsidRDefault="009F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B5B4F"/>
    <w:multiLevelType w:val="hybridMultilevel"/>
    <w:tmpl w:val="6AEE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856C3"/>
    <w:multiLevelType w:val="hybridMultilevel"/>
    <w:tmpl w:val="49ACDB24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B120D"/>
    <w:multiLevelType w:val="hybridMultilevel"/>
    <w:tmpl w:val="7D9A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7DFA"/>
    <w:rsid w:val="00012A6E"/>
    <w:rsid w:val="00043FEC"/>
    <w:rsid w:val="00046D8A"/>
    <w:rsid w:val="000609DC"/>
    <w:rsid w:val="000F4FF3"/>
    <w:rsid w:val="001630DB"/>
    <w:rsid w:val="00181BE1"/>
    <w:rsid w:val="001A44B4"/>
    <w:rsid w:val="001D2B66"/>
    <w:rsid w:val="001E55B4"/>
    <w:rsid w:val="001E6E04"/>
    <w:rsid w:val="001F11BB"/>
    <w:rsid w:val="0020568E"/>
    <w:rsid w:val="00216468"/>
    <w:rsid w:val="00234AE1"/>
    <w:rsid w:val="002A1542"/>
    <w:rsid w:val="00351F7C"/>
    <w:rsid w:val="003F576E"/>
    <w:rsid w:val="00457155"/>
    <w:rsid w:val="00472121"/>
    <w:rsid w:val="004B2067"/>
    <w:rsid w:val="004C0151"/>
    <w:rsid w:val="004D56AC"/>
    <w:rsid w:val="00504FDD"/>
    <w:rsid w:val="0054479E"/>
    <w:rsid w:val="00585DD1"/>
    <w:rsid w:val="005A44DD"/>
    <w:rsid w:val="00601677"/>
    <w:rsid w:val="006831EB"/>
    <w:rsid w:val="006B4491"/>
    <w:rsid w:val="006E09E7"/>
    <w:rsid w:val="00747427"/>
    <w:rsid w:val="0075205C"/>
    <w:rsid w:val="0075345E"/>
    <w:rsid w:val="00753F91"/>
    <w:rsid w:val="00773928"/>
    <w:rsid w:val="00806AAF"/>
    <w:rsid w:val="0083441A"/>
    <w:rsid w:val="00847AB2"/>
    <w:rsid w:val="0089154D"/>
    <w:rsid w:val="008D71BD"/>
    <w:rsid w:val="008F315B"/>
    <w:rsid w:val="008F53F3"/>
    <w:rsid w:val="0092233D"/>
    <w:rsid w:val="00940829"/>
    <w:rsid w:val="009538A1"/>
    <w:rsid w:val="00975438"/>
    <w:rsid w:val="009B3A56"/>
    <w:rsid w:val="009F1332"/>
    <w:rsid w:val="009F3772"/>
    <w:rsid w:val="00A03DDF"/>
    <w:rsid w:val="00A23E17"/>
    <w:rsid w:val="00AA51DF"/>
    <w:rsid w:val="00B07DDF"/>
    <w:rsid w:val="00B10107"/>
    <w:rsid w:val="00B26B2E"/>
    <w:rsid w:val="00B41090"/>
    <w:rsid w:val="00B64870"/>
    <w:rsid w:val="00B84990"/>
    <w:rsid w:val="00BA0146"/>
    <w:rsid w:val="00BA2DAB"/>
    <w:rsid w:val="00BA5A5A"/>
    <w:rsid w:val="00BD49E9"/>
    <w:rsid w:val="00BF04B2"/>
    <w:rsid w:val="00C45589"/>
    <w:rsid w:val="00C47AED"/>
    <w:rsid w:val="00C50B89"/>
    <w:rsid w:val="00C97738"/>
    <w:rsid w:val="00C97DB9"/>
    <w:rsid w:val="00CC3CF5"/>
    <w:rsid w:val="00CD3C73"/>
    <w:rsid w:val="00CF0E6A"/>
    <w:rsid w:val="00D154CE"/>
    <w:rsid w:val="00D45342"/>
    <w:rsid w:val="00DC26AB"/>
    <w:rsid w:val="00E0292A"/>
    <w:rsid w:val="00E034FB"/>
    <w:rsid w:val="00E40B7D"/>
    <w:rsid w:val="00E94F79"/>
    <w:rsid w:val="00EF46AF"/>
    <w:rsid w:val="00F442C7"/>
    <w:rsid w:val="00F91653"/>
    <w:rsid w:val="00FB7C66"/>
    <w:rsid w:val="00FD0029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23CC94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891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191750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06104E"/>
    <w:rsid w:val="00162F38"/>
    <w:rsid w:val="00191750"/>
    <w:rsid w:val="001B2904"/>
    <w:rsid w:val="00575280"/>
    <w:rsid w:val="0060097B"/>
    <w:rsid w:val="00660AD4"/>
    <w:rsid w:val="006A337B"/>
    <w:rsid w:val="006F711C"/>
    <w:rsid w:val="00760A11"/>
    <w:rsid w:val="00791B79"/>
    <w:rsid w:val="008366DF"/>
    <w:rsid w:val="009C521E"/>
    <w:rsid w:val="00AF28D9"/>
    <w:rsid w:val="00E05C45"/>
    <w:rsid w:val="00E7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69CC6-43E1-407A-92D4-B6C051B2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5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4784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7</cp:revision>
  <cp:lastPrinted>2016-04-27T15:10:00Z</cp:lastPrinted>
  <dcterms:created xsi:type="dcterms:W3CDTF">2017-01-04T20:47:00Z</dcterms:created>
  <dcterms:modified xsi:type="dcterms:W3CDTF">2017-03-10T20:23:00Z</dcterms:modified>
</cp:coreProperties>
</file>